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:rsidR="00452C4F" w:rsidRPr="006F2073" w:rsidRDefault="00452C4F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661562">
        <w:rPr>
          <w:rFonts w:ascii="Times New Roman" w:hAnsi="Times New Roman" w:cs="Times New Roman"/>
          <w:sz w:val="22"/>
          <w:szCs w:val="22"/>
          <w:lang w:val="pl-PL"/>
        </w:rPr>
        <w:t>Chromatografu cieczowego z wyposażeniem i oprogramowaniem</w:t>
      </w:r>
    </w:p>
    <w:p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Podane parametry mają charakter obligatoryjny. Nie spełnienie choćby jednego parametru będzie skutkować odrzuceniem oferty.</w:t>
      </w:r>
    </w:p>
    <w:p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089"/>
        <w:gridCol w:w="1946"/>
        <w:gridCol w:w="1666"/>
      </w:tblGrid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 xml:space="preserve">, potwierdzające oferowane parametry w zakresie wymagań minimalnych oraz kryteriów </w:t>
            </w:r>
            <w:proofErr w:type="spellStart"/>
            <w:r w:rsidRPr="00661562">
              <w:rPr>
                <w:sz w:val="22"/>
                <w:szCs w:val="22"/>
              </w:rPr>
              <w:t>pozacenowych</w:t>
            </w:r>
            <w:proofErr w:type="spellEnd"/>
            <w:r w:rsidRPr="00661562">
              <w:rPr>
                <w:sz w:val="22"/>
                <w:szCs w:val="22"/>
              </w:rPr>
              <w:t>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pełną dokumentację techniczną urządzenia w języku producenta wraz z jej polskim tłumaczeniem, w formie drukowanej (oprawioną w sposób zapobiegający zniszczeniu) oraz na nośniku elektronicznym w formacie *.pdf lub *.</w:t>
            </w:r>
            <w:proofErr w:type="spellStart"/>
            <w:r w:rsidRPr="00661562">
              <w:rPr>
                <w:sz w:val="22"/>
                <w:szCs w:val="22"/>
              </w:rPr>
              <w:t>doc</w:t>
            </w:r>
            <w:proofErr w:type="spellEnd"/>
            <w:r w:rsidRPr="00661562">
              <w:rPr>
                <w:sz w:val="22"/>
                <w:szCs w:val="22"/>
              </w:rPr>
              <w:t>;</w:t>
            </w:r>
          </w:p>
          <w:p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:rsidR="00452C4F" w:rsidRPr="00661562" w:rsidRDefault="00452C4F">
            <w:pPr>
              <w:jc w:val="both"/>
              <w:rPr>
                <w:sz w:val="22"/>
                <w:szCs w:val="22"/>
              </w:rPr>
            </w:pPr>
          </w:p>
          <w:p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507616">
              <w:rPr>
                <w:b/>
                <w:bCs/>
                <w:sz w:val="22"/>
                <w:szCs w:val="22"/>
              </w:rPr>
              <w:t>24 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lastRenderedPageBreak/>
              <w:t>Wszelkie koszty związane z realizacją gwarancji ponosi Wykonawca.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musi dostarczyć, zainstalować, dostosować do istniejącej instalacji, uruchomić i przetestować wszystkie urządzenia oraz zademonstrować pełną sprawność dostarczonych urządzeń.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Autoryzowany serwis z siedzibą w Polsce z minimum dwoma  inżynierami serwisu przeszkolonymi przez producenta (załączyć odpowiednie imienne certyfikaty producenta)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Zamawiający wymaga, aby pracownicy serwisujący porozumiewali się biegle w języku polskim oraz posiadali minimum dwuletnie doświadczenie w wykonywaniu usług serwisowych chromatografów cieczowych;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 wykonania minimum </w:t>
            </w:r>
            <w:r w:rsidR="001B7351">
              <w:rPr>
                <w:sz w:val="22"/>
                <w:szCs w:val="22"/>
              </w:rPr>
              <w:t>jednego</w:t>
            </w:r>
            <w:r w:rsidRPr="00661562">
              <w:rPr>
                <w:sz w:val="22"/>
                <w:szCs w:val="22"/>
              </w:rPr>
              <w:t xml:space="preserve"> nieodpłatn</w:t>
            </w:r>
            <w:r w:rsidR="001B7351">
              <w:rPr>
                <w:sz w:val="22"/>
                <w:szCs w:val="22"/>
              </w:rPr>
              <w:t>ego</w:t>
            </w:r>
            <w:r w:rsidRPr="00661562">
              <w:rPr>
                <w:sz w:val="22"/>
                <w:szCs w:val="22"/>
              </w:rPr>
              <w:t xml:space="preserve"> przegląd</w:t>
            </w:r>
            <w:r w:rsidR="001B7351">
              <w:rPr>
                <w:sz w:val="22"/>
                <w:szCs w:val="22"/>
              </w:rPr>
              <w:t>u</w:t>
            </w:r>
            <w:r w:rsidRPr="00661562">
              <w:rPr>
                <w:sz w:val="22"/>
                <w:szCs w:val="22"/>
              </w:rPr>
              <w:t xml:space="preserve"> serwisow</w:t>
            </w:r>
            <w:r w:rsidR="001B7351">
              <w:rPr>
                <w:sz w:val="22"/>
                <w:szCs w:val="22"/>
              </w:rPr>
              <w:t>ego</w:t>
            </w:r>
            <w:r w:rsidRPr="00661562">
              <w:rPr>
                <w:sz w:val="22"/>
                <w:szCs w:val="22"/>
              </w:rPr>
              <w:t xml:space="preserve"> w okresie trwania gwarancji w terminie ustalonym z użytkownikiem</w:t>
            </w:r>
            <w:r w:rsidR="006717E3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Dodatkowo, wsparcie techniczne w oparciu o telefon, fax, e-mail;</w:t>
            </w:r>
          </w:p>
          <w:p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wstępne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:rsidR="00452C4F" w:rsidRPr="00661562" w:rsidRDefault="00452C4F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 xml:space="preserve"> Czas trwania szkolenia nie krótszy niż 2 dni;</w:t>
            </w:r>
          </w:p>
          <w:p w:rsidR="00452C4F" w:rsidRPr="00661562" w:rsidRDefault="00452C4F" w:rsidP="006F41BC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>Szkolenie obejmujące 2 ÷ 4 osób.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Szkolenie </w:t>
            </w:r>
            <w:r w:rsidRPr="00661562">
              <w:rPr>
                <w:b/>
                <w:bCs/>
                <w:sz w:val="22"/>
                <w:szCs w:val="22"/>
              </w:rPr>
              <w:lastRenderedPageBreak/>
              <w:t>aplikacyjne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numPr>
                <w:ilvl w:val="0"/>
                <w:numId w:val="6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lastRenderedPageBreak/>
              <w:t>Z obsługi sprzętu i oprogramowania;</w:t>
            </w:r>
          </w:p>
          <w:p w:rsidR="00452C4F" w:rsidRPr="00661562" w:rsidRDefault="00452C4F">
            <w:pPr>
              <w:numPr>
                <w:ilvl w:val="0"/>
                <w:numId w:val="6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Czas trwania szkolenia nie krótszy niż  </w:t>
            </w:r>
            <w:r w:rsidRPr="00661562">
              <w:rPr>
                <w:sz w:val="22"/>
                <w:szCs w:val="22"/>
              </w:rPr>
              <w:lastRenderedPageBreak/>
              <w:t>3 dni;</w:t>
            </w:r>
          </w:p>
          <w:p w:rsidR="00452C4F" w:rsidRPr="00661562" w:rsidRDefault="00452C4F">
            <w:pPr>
              <w:numPr>
                <w:ilvl w:val="0"/>
                <w:numId w:val="6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Szkolenie obejmujące 2 ÷ 4 osób, w ustalonym terminie oraz w godzinach pracy Zamawiającego, nie później niż 4 miesiące od daty instalacji urządzenia;</w:t>
            </w:r>
          </w:p>
          <w:p w:rsidR="00452C4F" w:rsidRPr="00661562" w:rsidRDefault="00452C4F">
            <w:pPr>
              <w:numPr>
                <w:ilvl w:val="0"/>
                <w:numId w:val="6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Minimalny zakres szkolenia: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bieżąca obsługa urządzenia;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programowanie urządzenia;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konfiguracja parametrów pracy;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konserwacja urządzenia;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rozpoznawanie awarii;</w:t>
            </w:r>
          </w:p>
          <w:p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- wykonanie przykładowych oznaczeń </w:t>
            </w:r>
            <w:r>
              <w:rPr>
                <w:sz w:val="22"/>
                <w:szCs w:val="22"/>
              </w:rPr>
              <w:t>dla m.in. WWA</w:t>
            </w:r>
            <w:r w:rsidRPr="00661562">
              <w:rPr>
                <w:sz w:val="22"/>
                <w:szCs w:val="22"/>
              </w:rPr>
              <w:t xml:space="preserve"> (zgodnie z nor</w:t>
            </w:r>
            <w:r>
              <w:rPr>
                <w:sz w:val="22"/>
                <w:szCs w:val="22"/>
              </w:rPr>
              <w:t>mą</w:t>
            </w:r>
            <w:r>
              <w:rPr>
                <w:sz w:val="22"/>
                <w:szCs w:val="22"/>
              </w:rPr>
              <w:br/>
              <w:t>PN-EN ISO 17993:2005), fenoli</w:t>
            </w:r>
            <w:r w:rsidRPr="00661562">
              <w:rPr>
                <w:sz w:val="22"/>
                <w:szCs w:val="22"/>
              </w:rPr>
              <w:t>, formaldehyd</w:t>
            </w:r>
            <w:r>
              <w:rPr>
                <w:sz w:val="22"/>
                <w:szCs w:val="22"/>
              </w:rPr>
              <w:t>u</w:t>
            </w:r>
            <w:r w:rsidRPr="00661562">
              <w:rPr>
                <w:sz w:val="22"/>
                <w:szCs w:val="22"/>
              </w:rPr>
              <w:t xml:space="preserve">, w próbkach rzeczywistych, </w:t>
            </w:r>
          </w:p>
          <w:p w:rsidR="00452C4F" w:rsidRPr="00661562" w:rsidRDefault="00452C4F">
            <w:pPr>
              <w:numPr>
                <w:ilvl w:val="0"/>
                <w:numId w:val="7"/>
              </w:numPr>
              <w:ind w:left="389" w:firstLine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Filmy instruktażowe w języku polskim lub angielskim obejmujące pełen zakres regularnych czynności konserwacyjnych podejmowanych przez użytkownika.</w:t>
            </w:r>
          </w:p>
          <w:p w:rsidR="00452C4F" w:rsidRPr="00661562" w:rsidRDefault="00452C4F">
            <w:pPr>
              <w:numPr>
                <w:ilvl w:val="0"/>
                <w:numId w:val="8"/>
              </w:numPr>
              <w:ind w:left="282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Szkolenie w siedzibie Zamawiającego, potwierdzone certyfikatem lub zaświadczeniem.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:rsidR="00452C4F" w:rsidRPr="00661562" w:rsidRDefault="00452C4F">
      <w:pPr>
        <w:rPr>
          <w:b/>
          <w:bCs/>
          <w:sz w:val="22"/>
          <w:szCs w:val="22"/>
        </w:rPr>
      </w:pPr>
    </w:p>
    <w:p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>Tabela 2. Wymagania szczegółowe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700"/>
        <w:gridCol w:w="1287"/>
      </w:tblGrid>
      <w:tr w:rsidR="00452C4F" w:rsidRPr="00661562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>
        <w:trPr>
          <w:trHeight w:val="1144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numPr>
                <w:ilvl w:val="0"/>
                <w:numId w:val="9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Urządzenie fabrycznie nowe z produkcji seryjnej;</w:t>
            </w:r>
          </w:p>
          <w:p w:rsidR="00452C4F" w:rsidRPr="00661562" w:rsidRDefault="00452C4F">
            <w:pPr>
              <w:numPr>
                <w:ilvl w:val="0"/>
                <w:numId w:val="9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Zasilanie 230 V / 50 Hz;</w:t>
            </w:r>
          </w:p>
          <w:p w:rsidR="00452C4F" w:rsidRPr="00661562" w:rsidRDefault="00452C4F">
            <w:pPr>
              <w:numPr>
                <w:ilvl w:val="0"/>
                <w:numId w:val="9"/>
              </w:numPr>
              <w:ind w:left="192" w:hanging="192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System </w:t>
            </w:r>
            <w:r w:rsidR="004C1BCA">
              <w:rPr>
                <w:sz w:val="22"/>
                <w:szCs w:val="22"/>
              </w:rPr>
              <w:t xml:space="preserve">modułowy </w:t>
            </w:r>
            <w:r w:rsidRPr="00661562">
              <w:rPr>
                <w:sz w:val="22"/>
                <w:szCs w:val="22"/>
              </w:rPr>
              <w:t xml:space="preserve">typu </w:t>
            </w:r>
            <w:proofErr w:type="spellStart"/>
            <w:r w:rsidRPr="00661562">
              <w:rPr>
                <w:i/>
                <w:iCs/>
                <w:sz w:val="22"/>
                <w:szCs w:val="22"/>
              </w:rPr>
              <w:t>bench</w:t>
            </w:r>
            <w:proofErr w:type="spellEnd"/>
            <w:r w:rsidRPr="00661562">
              <w:rPr>
                <w:i/>
                <w:iCs/>
                <w:sz w:val="22"/>
                <w:szCs w:val="22"/>
              </w:rPr>
              <w:t>-top</w:t>
            </w:r>
            <w:r w:rsidRPr="00661562">
              <w:rPr>
                <w:sz w:val="22"/>
                <w:szCs w:val="22"/>
              </w:rPr>
              <w:t>, stojący na stole.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607C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661562">
              <w:rPr>
                <w:sz w:val="22"/>
                <w:szCs w:val="22"/>
              </w:rPr>
              <w:t>ieodpłatn</w:t>
            </w:r>
            <w:r>
              <w:rPr>
                <w:sz w:val="22"/>
                <w:szCs w:val="22"/>
              </w:rPr>
              <w:t>y</w:t>
            </w:r>
            <w:r w:rsidRPr="00661562">
              <w:rPr>
                <w:sz w:val="22"/>
                <w:szCs w:val="22"/>
              </w:rPr>
              <w:t xml:space="preserve"> przegląd serwisow</w:t>
            </w:r>
            <w:r>
              <w:rPr>
                <w:sz w:val="22"/>
                <w:szCs w:val="22"/>
              </w:rPr>
              <w:t>y</w:t>
            </w:r>
            <w:r w:rsidRPr="00661562">
              <w:rPr>
                <w:sz w:val="22"/>
                <w:szCs w:val="22"/>
              </w:rPr>
              <w:t xml:space="preserve"> w okresie trwania gwarancji w terminie ustalonym z użytkownikiem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:rsidR="00452C4F" w:rsidRPr="00661562" w:rsidRDefault="00452C4F" w:rsidP="002E24B1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2E027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61562">
              <w:rPr>
                <w:sz w:val="22"/>
                <w:szCs w:val="22"/>
                <w:lang w:eastAsia="en-US"/>
              </w:rPr>
              <w:t xml:space="preserve">Gwarancja </w:t>
            </w:r>
            <w:r w:rsidR="006717E3">
              <w:rPr>
                <w:sz w:val="22"/>
                <w:szCs w:val="22"/>
                <w:lang w:eastAsia="en-US"/>
              </w:rPr>
              <w:t xml:space="preserve">minimum </w:t>
            </w:r>
            <w:r>
              <w:rPr>
                <w:sz w:val="22"/>
                <w:szCs w:val="22"/>
                <w:lang w:eastAsia="en-US"/>
              </w:rPr>
              <w:t>24 miesią</w:t>
            </w:r>
            <w:r w:rsidRPr="00661562">
              <w:rPr>
                <w:sz w:val="22"/>
                <w:szCs w:val="22"/>
                <w:lang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e</w:t>
            </w:r>
            <w:r w:rsidRPr="0066156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:rsidR="00452C4F" w:rsidRPr="00661562" w:rsidRDefault="00452C4F" w:rsidP="002E24B1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661562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B1496E">
            <w:pPr>
              <w:suppressAutoHyphens w:val="0"/>
              <w:jc w:val="both"/>
              <w:rPr>
                <w:color w:val="FF0000"/>
                <w:sz w:val="22"/>
                <w:szCs w:val="22"/>
              </w:rPr>
            </w:pPr>
            <w:r w:rsidRPr="00661562">
              <w:rPr>
                <w:snapToGrid w:val="0"/>
                <w:sz w:val="22"/>
                <w:szCs w:val="22"/>
                <w:lang w:eastAsia="en-US"/>
              </w:rPr>
              <w:t>Współpraca chromatografu z komputerem poprzez złącze Ethernet (LAN) dające możli</w:t>
            </w:r>
            <w:r>
              <w:rPr>
                <w:snapToGrid w:val="0"/>
                <w:sz w:val="22"/>
                <w:szCs w:val="22"/>
                <w:lang w:eastAsia="en-US"/>
              </w:rPr>
              <w:t>wość zdalnego dostępu</w:t>
            </w:r>
            <w:r w:rsidRPr="00661562">
              <w:rPr>
                <w:snapToGrid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9242D1">
            <w:pPr>
              <w:suppressAutoHyphens w:val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Możliwość rozbudowy o detektor mas typu potrójny kwadrupol do analiz </w:t>
            </w:r>
            <w:r w:rsidR="009242D1">
              <w:rPr>
                <w:sz w:val="22"/>
                <w:szCs w:val="22"/>
              </w:rPr>
              <w:t>i</w:t>
            </w:r>
            <w:r w:rsidRPr="00661562">
              <w:rPr>
                <w:sz w:val="22"/>
                <w:szCs w:val="22"/>
              </w:rPr>
              <w:t>l</w:t>
            </w:r>
            <w:r w:rsidR="009242D1">
              <w:rPr>
                <w:sz w:val="22"/>
                <w:szCs w:val="22"/>
              </w:rPr>
              <w:t>o</w:t>
            </w:r>
            <w:r w:rsidRPr="00661562">
              <w:rPr>
                <w:sz w:val="22"/>
                <w:szCs w:val="22"/>
              </w:rPr>
              <w:t>ściowych</w:t>
            </w:r>
            <w:r>
              <w:rPr>
                <w:sz w:val="22"/>
                <w:szCs w:val="22"/>
              </w:rPr>
              <w:t>,</w:t>
            </w:r>
            <w:r w:rsidRPr="00661562">
              <w:rPr>
                <w:sz w:val="22"/>
                <w:szCs w:val="22"/>
              </w:rPr>
              <w:t xml:space="preserve"> tego samego producenta w celu zapewnienia zgodności serwisowych</w:t>
            </w:r>
            <w:r w:rsidR="006717E3">
              <w:rPr>
                <w:sz w:val="22"/>
                <w:szCs w:val="22"/>
              </w:rPr>
              <w:t>.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rPr>
          <w:trHeight w:val="1144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07C90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07C90">
              <w:rPr>
                <w:sz w:val="22"/>
                <w:szCs w:val="22"/>
              </w:rPr>
              <w:t>Pełna kompatybilność chromatografu cieczowego z posiadanym przez jednostkę kwadrupolowym spektrometrem ICP-MS model 7800 w celu zapewnienia zgodności serwisowych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07C90" w:rsidRDefault="001406F4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607C90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1406F4" w:rsidRPr="00A84952" w:rsidRDefault="001406F4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  <w:r w:rsidRPr="00A84952">
              <w:rPr>
                <w:b/>
                <w:bCs/>
                <w:iCs/>
                <w:sz w:val="22"/>
                <w:szCs w:val="22"/>
              </w:rPr>
              <w:t>Układ dostarczania fazy ruchomej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07C90" w:rsidRDefault="001406F4" w:rsidP="00607C90">
            <w:pPr>
              <w:suppressAutoHyphens w:val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Chromatograf cieczowy czterokanałowy z funkcją mieszania eluentów po stronie niskiego ciśnienia, pracujący w zakresie ciśnień roboczych do 600 bar.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 w:rsidP="00607C90">
            <w:pPr>
              <w:suppressAutoHyphens w:val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  <w:lang w:eastAsia="en-US"/>
              </w:rPr>
              <w:t>Aktywne omywanie tłoków pompy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 w:rsidP="00607C90">
            <w:pPr>
              <w:suppressAutoHyphens w:val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  <w:lang w:eastAsia="en-US"/>
              </w:rPr>
              <w:t>Zakres operacyjny przepływu fazy ruchomej od 0,001 </w:t>
            </w:r>
            <w:proofErr w:type="spellStart"/>
            <w:r w:rsidRPr="00661562">
              <w:rPr>
                <w:sz w:val="22"/>
                <w:szCs w:val="22"/>
                <w:lang w:eastAsia="en-US"/>
              </w:rPr>
              <w:t>mL</w:t>
            </w:r>
            <w:proofErr w:type="spellEnd"/>
            <w:r w:rsidRPr="00661562">
              <w:rPr>
                <w:sz w:val="22"/>
                <w:szCs w:val="22"/>
                <w:lang w:eastAsia="en-US"/>
              </w:rPr>
              <w:t xml:space="preserve">/min do 10 </w:t>
            </w:r>
            <w:proofErr w:type="spellStart"/>
            <w:r w:rsidRPr="00661562">
              <w:rPr>
                <w:sz w:val="22"/>
                <w:szCs w:val="22"/>
                <w:lang w:eastAsia="en-US"/>
              </w:rPr>
              <w:t>mL</w:t>
            </w:r>
            <w:proofErr w:type="spellEnd"/>
            <w:r w:rsidRPr="00661562">
              <w:rPr>
                <w:sz w:val="22"/>
                <w:szCs w:val="22"/>
                <w:lang w:eastAsia="en-US"/>
              </w:rPr>
              <w:t>/min z przyrostem</w:t>
            </w:r>
            <w:r>
              <w:rPr>
                <w:sz w:val="22"/>
                <w:szCs w:val="22"/>
                <w:lang w:eastAsia="en-US"/>
              </w:rPr>
              <w:br/>
              <w:t>0,001 ml/min.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 w:rsidP="002E61B4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6F2073" w:rsidRDefault="001406F4" w:rsidP="002E61B4">
            <w:pPr>
              <w:jc w:val="center"/>
              <w:rPr>
                <w:b/>
                <w:bCs/>
                <w:i/>
                <w:iCs/>
                <w:strike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Precyzja mieszania zawartości kanałów z fazą ruchomą: &lt; 0,2 % RSD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2E61B4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2E6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2E027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Programowalny skład fazy ruchomej w zakresie</w:t>
            </w:r>
            <w:r w:rsidRPr="001933D7">
              <w:rPr>
                <w:sz w:val="22"/>
                <w:szCs w:val="22"/>
                <w:lang w:eastAsia="en-US"/>
              </w:rPr>
              <w:br/>
              <w:t xml:space="preserve"> 0 – 100 % z przyrostem, co 0,1 %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2E61B4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Zintegrowane odgazowanie fazy ruchomej dla wszystkich kanałów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2E61B4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2E61B4">
            <w:pPr>
              <w:jc w:val="center"/>
              <w:rPr>
                <w:b/>
                <w:bCs/>
                <w:i/>
                <w:iCs/>
                <w:strike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Automatyczna kompensacja ściśliwości fazy ruchomej.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2E61B4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2E61B4">
            <w:pPr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Precyzja przepływu fazy ruchomej: &lt; 0,1 % RSD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C507C9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C507C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1933D7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  <w:p w:rsidR="001406F4" w:rsidRPr="001933D7" w:rsidRDefault="001406F4" w:rsidP="00C507C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  <w:lang w:eastAsia="en-US"/>
              </w:rPr>
              <w:t>Dokładność przepływu fazy ruchomej nie gorsza niż ± 1%.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9633F3">
            <w:pPr>
              <w:jc w:val="center"/>
              <w:rPr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 w:rsidTr="00F85A72">
        <w:trPr>
          <w:trHeight w:val="82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Termostat kolumn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3D17E0">
            <w:pPr>
              <w:ind w:left="58"/>
              <w:jc w:val="both"/>
              <w:rPr>
                <w:sz w:val="22"/>
                <w:szCs w:val="22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>Dwa termostaty kolumnowe o zakresie temperatur: od 10</w:t>
            </w:r>
            <w:r w:rsidRPr="001933D7">
              <w:rPr>
                <w:sz w:val="22"/>
                <w:szCs w:val="22"/>
              </w:rPr>
              <w:t>°C</w:t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 poniżej temp. otoczenia</w:t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br/>
              <w:t>do + 80</w:t>
            </w:r>
            <w:r w:rsidRPr="001933D7">
              <w:rPr>
                <w:sz w:val="22"/>
                <w:szCs w:val="22"/>
              </w:rPr>
              <w:t>°C</w:t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, stabilność temperatury </w:t>
            </w:r>
            <w:r w:rsidRPr="001933D7">
              <w:rPr>
                <w:sz w:val="22"/>
                <w:szCs w:val="22"/>
              </w:rPr>
              <w:t>± 0,1 °C, dokładność temperatury: ± 0,5°C.</w:t>
            </w:r>
          </w:p>
          <w:p w:rsidR="001406F4" w:rsidRPr="001933D7" w:rsidRDefault="001406F4" w:rsidP="003D17E0">
            <w:pPr>
              <w:ind w:left="58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Termostat wyposażony w co najmniej</w:t>
            </w:r>
            <w:r w:rsidRPr="001933D7">
              <w:rPr>
                <w:sz w:val="22"/>
                <w:szCs w:val="22"/>
              </w:rPr>
              <w:br/>
              <w:t>2 niezależnie kontrolowane bloki chłodzące/grzejne, umożliwiające podgrzewani</w:t>
            </w:r>
            <w:r w:rsidR="001B7351">
              <w:rPr>
                <w:sz w:val="22"/>
                <w:szCs w:val="22"/>
              </w:rPr>
              <w:t>e</w:t>
            </w:r>
            <w:r w:rsidRPr="001933D7">
              <w:rPr>
                <w:sz w:val="22"/>
                <w:szCs w:val="22"/>
              </w:rPr>
              <w:t xml:space="preserve"> fazy ruchomej przed kolumną i jednocześnie chłodzenie jej za kolumną. Możliwość jednoczesnego zainstalowania w termostacie co najmniej 4 kolumn o długości 30 cm wraz z adapterami i </w:t>
            </w:r>
            <w:proofErr w:type="spellStart"/>
            <w:r w:rsidRPr="001933D7">
              <w:rPr>
                <w:sz w:val="22"/>
                <w:szCs w:val="22"/>
              </w:rPr>
              <w:t>przedkolumnami</w:t>
            </w:r>
            <w:proofErr w:type="spellEnd"/>
            <w:r w:rsidRPr="001933D7">
              <w:rPr>
                <w:sz w:val="22"/>
                <w:szCs w:val="22"/>
              </w:rPr>
              <w:t>.</w:t>
            </w:r>
          </w:p>
          <w:p w:rsidR="001406F4" w:rsidRPr="001933D7" w:rsidRDefault="001406F4" w:rsidP="00607C90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</w:rPr>
              <w:t>Termostaty wyposażone w zawór 4 pozycyjny,</w:t>
            </w:r>
            <w:r w:rsidRPr="001933D7">
              <w:rPr>
                <w:sz w:val="22"/>
                <w:szCs w:val="22"/>
              </w:rPr>
              <w:br/>
              <w:t>10 portowy do przełączania między kolumnami.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3D17E0">
            <w:pPr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27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1406F4" w:rsidRPr="00661562" w:rsidRDefault="001406F4">
            <w:pPr>
              <w:suppressAutoHyphens w:val="0"/>
              <w:rPr>
                <w:b/>
                <w:bCs/>
                <w:i/>
                <w:i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Układ wprowadzania próbki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607C90">
            <w:pPr>
              <w:suppressAutoHyphens w:val="0"/>
              <w:jc w:val="both"/>
              <w:rPr>
                <w:b/>
                <w:bCs/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 xml:space="preserve">Automatyczny podajnik próbek na minimum 130 </w:t>
            </w:r>
            <w:r w:rsidR="001B7351">
              <w:rPr>
                <w:sz w:val="22"/>
                <w:szCs w:val="22"/>
              </w:rPr>
              <w:t>fiolek o objętości 2ml</w:t>
            </w:r>
            <w:r w:rsidRPr="001933D7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>
            <w:pPr>
              <w:suppressAutoHyphens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27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  <w:lang w:eastAsia="en-US"/>
              </w:rPr>
              <w:t>Automatyczny podajnik próbek przystosowany do obsługi różnych rodzajów fiolek HPLC (</w:t>
            </w:r>
            <w:r w:rsidRPr="00661562">
              <w:rPr>
                <w:sz w:val="22"/>
                <w:szCs w:val="22"/>
              </w:rPr>
              <w:t>pojemników o różnych objętościach)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 w:rsidP="002E24B1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661562" w:rsidRDefault="001406F4" w:rsidP="002E24B1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36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 w:rsidP="00AA578A">
            <w:pPr>
              <w:suppressAutoHyphens w:val="0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Możliwość chłodzenia automatycznego podajnika próbek.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661562" w:rsidRDefault="001406F4">
            <w:pPr>
              <w:suppressAutoHyphens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31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07C90" w:rsidRDefault="001406F4" w:rsidP="00607C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Zakres objętości wprowadzanej próbki od 0,1 </w:t>
            </w:r>
            <w:r w:rsidRPr="001933D7">
              <w:rPr>
                <w:sz w:val="22"/>
                <w:szCs w:val="22"/>
                <w:lang w:eastAsia="en-US"/>
              </w:rPr>
              <w:sym w:font="Symbol" w:char="F06D"/>
            </w:r>
            <w:r w:rsidRPr="001933D7">
              <w:rPr>
                <w:sz w:val="22"/>
                <w:szCs w:val="22"/>
                <w:lang w:eastAsia="en-US"/>
              </w:rPr>
              <w:t xml:space="preserve">L do 100 </w:t>
            </w:r>
            <w:r w:rsidRPr="001933D7">
              <w:rPr>
                <w:sz w:val="22"/>
                <w:szCs w:val="22"/>
                <w:lang w:eastAsia="en-US"/>
              </w:rPr>
              <w:sym w:font="Symbol" w:char="F06D"/>
            </w:r>
            <w:r w:rsidRPr="001933D7">
              <w:rPr>
                <w:sz w:val="22"/>
                <w:szCs w:val="22"/>
                <w:lang w:eastAsia="en-US"/>
              </w:rPr>
              <w:t>l w konfiguracji standardowej.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7469AE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7469AE">
            <w:pPr>
              <w:jc w:val="center"/>
              <w:rPr>
                <w:strike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31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451F24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Precyzja </w:t>
            </w:r>
            <w:proofErr w:type="spellStart"/>
            <w:r w:rsidRPr="001933D7">
              <w:rPr>
                <w:sz w:val="22"/>
                <w:szCs w:val="22"/>
                <w:lang w:eastAsia="en-US"/>
              </w:rPr>
              <w:t>nastrzyku</w:t>
            </w:r>
            <w:proofErr w:type="spellEnd"/>
            <w:r w:rsidRPr="001933D7">
              <w:rPr>
                <w:sz w:val="22"/>
                <w:szCs w:val="22"/>
                <w:lang w:eastAsia="en-US"/>
              </w:rPr>
              <w:t xml:space="preserve"> automatycznego podajnika próbek nie gorsza niż 0,25 % RSD.</w:t>
            </w:r>
          </w:p>
          <w:p w:rsidR="001406F4" w:rsidRPr="001933D7" w:rsidRDefault="001406F4" w:rsidP="007469A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451F24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451F24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831"/>
        </w:trPr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A26DA4">
            <w:pPr>
              <w:suppressAutoHyphens w:val="0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 xml:space="preserve">Błąd przenoszenia nie gorszy niż 0,005 % </w:t>
            </w:r>
          </w:p>
          <w:p w:rsidR="001406F4" w:rsidRPr="001933D7" w:rsidRDefault="001406F4" w:rsidP="002F2EE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451F24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451F24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1933D7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604153">
        <w:trPr>
          <w:trHeight w:val="694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406F4" w:rsidRPr="00661562" w:rsidRDefault="001406F4" w:rsidP="00E03B99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Detektor </w:t>
            </w:r>
            <w:r w:rsidRPr="00661562">
              <w:rPr>
                <w:b/>
                <w:bCs/>
                <w:sz w:val="21"/>
                <w:szCs w:val="21"/>
              </w:rPr>
              <w:t>fluorescencyjny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2F2EEF">
            <w:pPr>
              <w:suppressAutoHyphens w:val="0"/>
              <w:jc w:val="both"/>
              <w:rPr>
                <w:sz w:val="22"/>
                <w:szCs w:val="22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Detektor  </w:t>
            </w:r>
            <w:r w:rsidR="001B7351">
              <w:rPr>
                <w:snapToGrid w:val="0"/>
                <w:sz w:val="22"/>
                <w:szCs w:val="22"/>
                <w:lang w:eastAsia="en-US"/>
              </w:rPr>
              <w:t>f</w:t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luorescencyjny pracujący w zakresach: wzbudzenie min. </w:t>
            </w:r>
            <w:r w:rsidRPr="001933D7">
              <w:rPr>
                <w:sz w:val="22"/>
                <w:szCs w:val="22"/>
              </w:rPr>
              <w:t xml:space="preserve">200 – 1200 </w:t>
            </w:r>
            <w:proofErr w:type="spellStart"/>
            <w:r w:rsidRPr="001933D7">
              <w:rPr>
                <w:sz w:val="22"/>
                <w:szCs w:val="22"/>
              </w:rPr>
              <w:t>nm</w:t>
            </w:r>
            <w:proofErr w:type="spellEnd"/>
            <w:r w:rsidRPr="001933D7">
              <w:rPr>
                <w:sz w:val="22"/>
                <w:szCs w:val="22"/>
              </w:rPr>
              <w:t xml:space="preserve"> i emisja min. 200 – 1200 nm. Częstotliwość zbierania danych 74 Hz.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>
            <w:pPr>
              <w:suppressAutoHyphens w:val="0"/>
              <w:jc w:val="center"/>
              <w:rPr>
                <w:b/>
                <w:bCs/>
                <w:sz w:val="22"/>
                <w:szCs w:val="22"/>
                <w:shd w:val="clear" w:color="auto" w:fill="FFFF00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852574" w:rsidTr="00604153">
        <w:trPr>
          <w:trHeight w:val="694"/>
        </w:trPr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 w:rsidP="00E03B99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665718">
            <w:pPr>
              <w:suppressAutoHyphens w:val="0"/>
              <w:jc w:val="both"/>
              <w:rPr>
                <w:snapToGrid w:val="0"/>
                <w:sz w:val="22"/>
                <w:szCs w:val="22"/>
                <w:lang w:val="pt-BR" w:eastAsia="en-US"/>
              </w:rPr>
            </w:pPr>
            <w:r w:rsidRPr="001933D7">
              <w:rPr>
                <w:sz w:val="22"/>
                <w:szCs w:val="22"/>
                <w:lang w:val="pt-BR"/>
              </w:rPr>
              <w:t>Czułość detektora: Raman (H</w:t>
            </w:r>
            <w:r w:rsidRPr="001933D7">
              <w:rPr>
                <w:sz w:val="22"/>
                <w:szCs w:val="22"/>
                <w:vertAlign w:val="subscript"/>
                <w:lang w:val="pt-BR"/>
              </w:rPr>
              <w:t>2</w:t>
            </w:r>
            <w:r w:rsidRPr="001933D7">
              <w:rPr>
                <w:sz w:val="22"/>
                <w:szCs w:val="22"/>
                <w:lang w:val="pt-BR"/>
              </w:rPr>
              <w:t>O) S/N &gt; 2500.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852574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852574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1933D7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  <w:p w:rsidR="001406F4" w:rsidRPr="001933D7" w:rsidRDefault="001406F4" w:rsidP="00852574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852574" w:rsidRDefault="001406F4">
            <w:pPr>
              <w:suppressAutoHyphens w:val="0"/>
              <w:snapToGrid w:val="0"/>
              <w:rPr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Detektor UV/VIS z matrycą diodową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067922">
            <w:pPr>
              <w:suppressAutoHyphens w:val="0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Detektor diodowy o zakresie: 190-900 </w:t>
            </w:r>
            <w:proofErr w:type="spellStart"/>
            <w:r w:rsidRPr="001933D7">
              <w:rPr>
                <w:snapToGrid w:val="0"/>
                <w:sz w:val="22"/>
                <w:szCs w:val="22"/>
                <w:lang w:eastAsia="en-US"/>
              </w:rPr>
              <w:t>nm</w:t>
            </w:r>
            <w:proofErr w:type="spellEnd"/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 z</w:t>
            </w:r>
          </w:p>
          <w:p w:rsidR="001406F4" w:rsidRPr="001933D7" w:rsidRDefault="001406F4" w:rsidP="00067922">
            <w:pPr>
              <w:suppressAutoHyphens w:val="0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programowalną szerokością szczelin: 1, 2, 4, 8, 16 nm. </w:t>
            </w:r>
          </w:p>
          <w:p w:rsidR="001406F4" w:rsidRPr="001933D7" w:rsidRDefault="001406F4" w:rsidP="00896469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trike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CC6502">
            <w:pPr>
              <w:suppressAutoHyphens w:val="0"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Liczba elementów światłoczułych (diod) &gt; </w:t>
            </w:r>
            <w:r w:rsidR="001B7351">
              <w:rPr>
                <w:snapToGrid w:val="0"/>
                <w:sz w:val="22"/>
                <w:szCs w:val="22"/>
                <w:lang w:eastAsia="en-US"/>
              </w:rPr>
              <w:t>10</w:t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DF3DE7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i/>
                <w:iCs/>
                <w:sz w:val="22"/>
                <w:szCs w:val="22"/>
              </w:rPr>
              <w:t xml:space="preserve">Uwaga: Parametr oceniany jako kryterium </w:t>
            </w:r>
            <w:proofErr w:type="spellStart"/>
            <w:r w:rsidRPr="001933D7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D7442E">
            <w:pPr>
              <w:suppressAutoHyphens w:val="0"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dryft: &lt; </w:t>
            </w:r>
            <w:r w:rsidRPr="001933D7">
              <w:rPr>
                <w:sz w:val="22"/>
                <w:szCs w:val="22"/>
              </w:rPr>
              <w:t xml:space="preserve">0,9 x 10 </w:t>
            </w:r>
            <w:r w:rsidRPr="001933D7">
              <w:rPr>
                <w:sz w:val="22"/>
                <w:szCs w:val="22"/>
                <w:vertAlign w:val="superscript"/>
              </w:rPr>
              <w:t>-3</w:t>
            </w:r>
            <w:r w:rsidRPr="001933D7">
              <w:rPr>
                <w:sz w:val="22"/>
                <w:szCs w:val="22"/>
              </w:rPr>
              <w:t xml:space="preserve"> AU/h przy 254 </w:t>
            </w:r>
            <w:proofErr w:type="spellStart"/>
            <w:r w:rsidRPr="001933D7">
              <w:rPr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DF3DE7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D7442E">
            <w:pPr>
              <w:suppressAutoHyphens w:val="0"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</w:rPr>
              <w:t xml:space="preserve">Szumy krótkotrwałe: &lt; 0,7 x 10 </w:t>
            </w:r>
            <w:r w:rsidRPr="001933D7">
              <w:rPr>
                <w:sz w:val="22"/>
                <w:szCs w:val="22"/>
                <w:vertAlign w:val="superscript"/>
              </w:rPr>
              <w:t>-5</w:t>
            </w:r>
            <w:r w:rsidRPr="001933D7">
              <w:rPr>
                <w:sz w:val="22"/>
                <w:szCs w:val="22"/>
              </w:rPr>
              <w:t xml:space="preserve"> AU przy 254 nm.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DF3DE7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/>
            <w:tcBorders>
              <w:left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D7442E">
            <w:pPr>
              <w:suppressAutoHyphens w:val="0"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</w:rPr>
              <w:t xml:space="preserve">Częstotliwość zbierania danych 120 Hz.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DF3DE7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 w:rsidTr="00434EE8"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6F4" w:rsidRPr="001933D7" w:rsidRDefault="001406F4" w:rsidP="00D7442E">
            <w:pPr>
              <w:suppressAutoHyphens w:val="0"/>
              <w:jc w:val="both"/>
              <w:rPr>
                <w:sz w:val="22"/>
                <w:szCs w:val="22"/>
              </w:rPr>
            </w:pPr>
            <w:r w:rsidRPr="001933D7">
              <w:rPr>
                <w:snapToGrid w:val="0"/>
                <w:sz w:val="22"/>
                <w:szCs w:val="22"/>
                <w:lang w:eastAsia="en-US"/>
              </w:rPr>
              <w:t>Cela przepływowa.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 w:rsidP="00DF3DE7">
            <w:pPr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  <w:p w:rsidR="001406F4" w:rsidRPr="001933D7" w:rsidRDefault="001406F4" w:rsidP="00B1496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1406F4" w:rsidRPr="00661562">
        <w:trPr>
          <w:trHeight w:val="70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color w:val="0070C0"/>
                <w:sz w:val="22"/>
                <w:szCs w:val="22"/>
              </w:rPr>
            </w:pPr>
          </w:p>
          <w:p w:rsidR="001406F4" w:rsidRPr="00661562" w:rsidRDefault="001406F4" w:rsidP="001406F4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Oprogramo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61562">
              <w:rPr>
                <w:b/>
                <w:bCs/>
                <w:sz w:val="22"/>
                <w:szCs w:val="22"/>
              </w:rPr>
              <w:t>wanie do sterowania pracą chromatografu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Oprogramowanie sterujące do kontroli wszystkich modułów urządzenia HPLC, umożliwiające kontrolę parametrów pracy</w:t>
            </w:r>
            <w:r w:rsidRPr="001933D7">
              <w:rPr>
                <w:sz w:val="22"/>
                <w:szCs w:val="22"/>
              </w:rPr>
              <w:br/>
              <w:t xml:space="preserve">z poziomu komputera; 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 xml:space="preserve">System zabezpieczeń oraz monitoringu parametrów pracy; 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Szeroki zakres możliwości raportowania pozwalający na przygotowanie raportu wg projektu użytkownika;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Kreator tworzenia metod analitycznych;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Podgląd wyników pomiarowych w czasie rzeczywistym;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lastRenderedPageBreak/>
              <w:t>Możliwość bezpośredniego eksportu danych pomiarowych do arkusza kalkulacyjnego;</w:t>
            </w:r>
          </w:p>
          <w:p w:rsidR="001406F4" w:rsidRPr="001933D7" w:rsidRDefault="001406F4">
            <w:pPr>
              <w:numPr>
                <w:ilvl w:val="0"/>
                <w:numId w:val="15"/>
              </w:numPr>
              <w:ind w:left="192" w:hanging="192"/>
              <w:jc w:val="both"/>
              <w:rPr>
                <w:b/>
                <w:bCs/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>Licencje na oprogramowanie dostarczone wraz ze sprzętem powinny dopuszczać przeniesienie licencji oprogramowania na inny komputer. Wykonawca dostarczy nośniki z oprogramowaniem umożliwiającym jego zainstalowanie na nowo.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1933D7" w:rsidRDefault="001406F4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1406F4" w:rsidRPr="001933D7" w:rsidRDefault="001406F4">
            <w:pPr>
              <w:suppressAutoHyphens w:val="0"/>
              <w:jc w:val="center"/>
              <w:rPr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1406F4" w:rsidRPr="00661562">
        <w:trPr>
          <w:trHeight w:val="3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color w:val="0070C0"/>
                <w:sz w:val="22"/>
                <w:szCs w:val="22"/>
              </w:rPr>
            </w:pPr>
          </w:p>
          <w:p w:rsidR="001406F4" w:rsidRPr="00661562" w:rsidRDefault="001406F4" w:rsidP="00D7442E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Komputer stacjonarny do sterowania pracą chromatografu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Komputer z systemem operacyjnym Windows, odpowiednim do działania oprogramowania sterującego pracą chromatografu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Procesor wielordzeniowy Intel </w:t>
            </w:r>
            <w:proofErr w:type="spellStart"/>
            <w:r w:rsidRPr="00661562">
              <w:rPr>
                <w:sz w:val="22"/>
                <w:szCs w:val="22"/>
              </w:rPr>
              <w:t>Core</w:t>
            </w:r>
            <w:proofErr w:type="spellEnd"/>
            <w:r w:rsidRPr="00661562">
              <w:rPr>
                <w:sz w:val="22"/>
                <w:szCs w:val="22"/>
              </w:rPr>
              <w:t xml:space="preserve"> i7 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Minimum 8 GB RAM;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Dysk 256 GB SSD;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Dodatkowy dysk minimum 1 TB;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Napęd optyczny DVD+/-RW;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Minimum 8 portów USB;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Karta graficzna (może być zintegrowana z płytą główną);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Karta sieciowa zintegrowana 10/100/1000 </w:t>
            </w:r>
            <w:proofErr w:type="spellStart"/>
            <w:r w:rsidRPr="00661562">
              <w:rPr>
                <w:sz w:val="22"/>
                <w:szCs w:val="22"/>
              </w:rPr>
              <w:t>Mbit</w:t>
            </w:r>
            <w:proofErr w:type="spellEnd"/>
            <w:r w:rsidRPr="00661562">
              <w:rPr>
                <w:sz w:val="22"/>
                <w:szCs w:val="22"/>
              </w:rPr>
              <w:t>/s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Klawiatura;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Mysz optyczna;</w:t>
            </w:r>
          </w:p>
          <w:p w:rsidR="001406F4" w:rsidRPr="00661562" w:rsidRDefault="001406F4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Monitor min. 24”, rozdzielczość obrazu min. 1920x1080 pikseli;</w:t>
            </w:r>
          </w:p>
          <w:p w:rsidR="001406F4" w:rsidRPr="00661562" w:rsidRDefault="001406F4" w:rsidP="00634F5B">
            <w:pPr>
              <w:numPr>
                <w:ilvl w:val="0"/>
                <w:numId w:val="16"/>
              </w:numPr>
              <w:suppressAutoHyphens w:val="0"/>
              <w:ind w:left="192" w:hanging="192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Pakiet biurowy MS Office, pełna wersja interfejsu użytkownika. Licencja powinna być bezterminowa oraz umożliwiać przeniesienie jej na inny komputer (np. w przypadku awarii komputera) – licencja jednostanowiskowa.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1406F4" w:rsidRPr="00661562" w:rsidRDefault="001406F4">
            <w:pPr>
              <w:suppressAutoHyphens w:val="0"/>
              <w:jc w:val="center"/>
              <w:rPr>
                <w:color w:val="00B050"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color w:val="00B050"/>
                <w:sz w:val="22"/>
                <w:szCs w:val="22"/>
              </w:rPr>
            </w:pPr>
          </w:p>
        </w:tc>
      </w:tr>
      <w:tr w:rsidR="001406F4" w:rsidRPr="00661562">
        <w:trPr>
          <w:trHeight w:val="127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1406F4" w:rsidRPr="00661562" w:rsidRDefault="001406F4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Wyposażenie dodatkowe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Zestaw materiałów </w:t>
            </w:r>
            <w:r w:rsidRPr="00661562">
              <w:rPr>
                <w:b/>
                <w:bCs/>
                <w:sz w:val="22"/>
                <w:szCs w:val="22"/>
              </w:rPr>
              <w:t>zapasowych</w:t>
            </w:r>
            <w:r w:rsidRPr="00661562">
              <w:rPr>
                <w:sz w:val="22"/>
                <w:szCs w:val="22"/>
              </w:rPr>
              <w:t xml:space="preserve"> obejmujący minimum: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Zestaw kapilar do zaworów przełączających wraz ze złączkami 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Zestaw fryt min. 20 sztuk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Zestaw startowy 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Ferule do HPLC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Zestaw 5 sztuk nakrętek do faz ruchomych HPLC z filtrami</w:t>
            </w:r>
          </w:p>
          <w:p w:rsidR="001406F4" w:rsidRPr="00661562" w:rsidRDefault="001406F4" w:rsidP="0063189F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Kolumna chromatograficzna do oznaczeń WWA z adapterem i zestawem 5 </w:t>
            </w:r>
            <w:proofErr w:type="spellStart"/>
            <w:r w:rsidRPr="00661562">
              <w:rPr>
                <w:sz w:val="22"/>
                <w:szCs w:val="22"/>
              </w:rPr>
              <w:t>przedkolumn</w:t>
            </w:r>
            <w:proofErr w:type="spellEnd"/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Kolumna chromatograficzna d</w:t>
            </w:r>
            <w:r>
              <w:rPr>
                <w:sz w:val="22"/>
                <w:szCs w:val="22"/>
              </w:rPr>
              <w:t>o</w:t>
            </w:r>
            <w:r w:rsidRPr="00661562">
              <w:rPr>
                <w:sz w:val="22"/>
                <w:szCs w:val="22"/>
              </w:rPr>
              <w:t xml:space="preserve"> oznaczeń fenoli z adapterem i zestawem 5 </w:t>
            </w:r>
            <w:proofErr w:type="spellStart"/>
            <w:r w:rsidRPr="00661562">
              <w:rPr>
                <w:sz w:val="22"/>
                <w:szCs w:val="22"/>
              </w:rPr>
              <w:t>przedkolumn</w:t>
            </w:r>
            <w:proofErr w:type="spellEnd"/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Kolumna chromatograficzna do oznaczeń formaldehydu z adapterem i zestawem 5 </w:t>
            </w:r>
            <w:proofErr w:type="spellStart"/>
            <w:r w:rsidRPr="00661562">
              <w:rPr>
                <w:sz w:val="22"/>
                <w:szCs w:val="22"/>
              </w:rPr>
              <w:t>przedkolumn</w:t>
            </w:r>
            <w:proofErr w:type="spellEnd"/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Kolumna chromatograficzna do oznaczeń pestycydów </w:t>
            </w:r>
            <w:proofErr w:type="spellStart"/>
            <w:r w:rsidRPr="00661562">
              <w:rPr>
                <w:sz w:val="22"/>
                <w:szCs w:val="22"/>
              </w:rPr>
              <w:t>karbaminianowych</w:t>
            </w:r>
            <w:proofErr w:type="spellEnd"/>
            <w:r w:rsidRPr="00661562">
              <w:rPr>
                <w:sz w:val="22"/>
                <w:szCs w:val="22"/>
              </w:rPr>
              <w:t xml:space="preserve"> z adapterem i zestawem 5 </w:t>
            </w:r>
            <w:proofErr w:type="spellStart"/>
            <w:r w:rsidRPr="00661562">
              <w:rPr>
                <w:sz w:val="22"/>
                <w:szCs w:val="22"/>
              </w:rPr>
              <w:t>przedkolumn</w:t>
            </w:r>
            <w:proofErr w:type="spellEnd"/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Kolumna chromatograficzna do oznaczeń </w:t>
            </w:r>
            <w:proofErr w:type="spellStart"/>
            <w:r w:rsidRPr="00661562">
              <w:rPr>
                <w:sz w:val="22"/>
                <w:szCs w:val="22"/>
              </w:rPr>
              <w:t>mikrocystyn</w:t>
            </w:r>
            <w:proofErr w:type="spellEnd"/>
            <w:r w:rsidRPr="00661562">
              <w:rPr>
                <w:sz w:val="22"/>
                <w:szCs w:val="22"/>
              </w:rPr>
              <w:t xml:space="preserve"> z adapterem i zestawem 5 </w:t>
            </w:r>
            <w:proofErr w:type="spellStart"/>
            <w:r w:rsidRPr="00661562">
              <w:rPr>
                <w:sz w:val="22"/>
                <w:szCs w:val="22"/>
              </w:rPr>
              <w:t>przedkolumn</w:t>
            </w:r>
            <w:proofErr w:type="spellEnd"/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Zestaw fiolek 2ml, ze szkła ciemnego - min </w:t>
            </w:r>
            <w:r w:rsidRPr="00661562">
              <w:rPr>
                <w:sz w:val="22"/>
                <w:szCs w:val="22"/>
              </w:rPr>
              <w:lastRenderedPageBreak/>
              <w:t>1000 szt</w:t>
            </w:r>
            <w:r>
              <w:rPr>
                <w:sz w:val="22"/>
                <w:szCs w:val="22"/>
              </w:rPr>
              <w:t>.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UPS dostosowany do potrzeb układu HPLC</w:t>
            </w:r>
          </w:p>
          <w:p w:rsidR="001406F4" w:rsidRPr="00661562" w:rsidRDefault="001406F4" w:rsidP="00945E3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Lampa ksenonowa do detektora fluorescencyjnego</w:t>
            </w:r>
          </w:p>
          <w:p w:rsidR="001406F4" w:rsidRPr="00661562" w:rsidRDefault="001406F4" w:rsidP="002A0640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Zestaw lamp </w:t>
            </w:r>
            <w:r w:rsidRPr="00661562">
              <w:rPr>
                <w:sz w:val="22"/>
                <w:szCs w:val="22"/>
              </w:rPr>
              <w:t>do</w:t>
            </w:r>
            <w:r>
              <w:rPr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detektora</w:t>
            </w:r>
            <w:r>
              <w:rPr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z matrycą diodową</w:t>
            </w:r>
          </w:p>
          <w:p w:rsidR="001406F4" w:rsidRPr="00661562" w:rsidRDefault="001406F4" w:rsidP="002A0640">
            <w:pPr>
              <w:ind w:left="192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1406F4" w:rsidRPr="00661562" w:rsidRDefault="001406F4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Należy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4" w:rsidRPr="00661562" w:rsidRDefault="001406F4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:rsidR="00452C4F" w:rsidRPr="00661562" w:rsidRDefault="00452C4F">
      <w:pPr>
        <w:rPr>
          <w:sz w:val="22"/>
          <w:szCs w:val="22"/>
        </w:rPr>
      </w:pPr>
    </w:p>
    <w:p w:rsidR="00452C4F" w:rsidRPr="00661562" w:rsidRDefault="00452C4F">
      <w:pPr>
        <w:suppressAutoHyphens w:val="0"/>
        <w:spacing w:after="160" w:line="256" w:lineRule="auto"/>
        <w:rPr>
          <w:b/>
          <w:bCs/>
          <w:sz w:val="22"/>
          <w:szCs w:val="22"/>
        </w:rPr>
      </w:pPr>
    </w:p>
    <w:p w:rsidR="00452C4F" w:rsidRPr="00607C90" w:rsidRDefault="00452C4F">
      <w:pPr>
        <w:suppressAutoHyphens w:val="0"/>
        <w:spacing w:after="160" w:line="256" w:lineRule="auto"/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3. Kryteria </w:t>
      </w:r>
      <w:proofErr w:type="spellStart"/>
      <w:r w:rsidRPr="00607C90">
        <w:rPr>
          <w:b/>
          <w:bCs/>
          <w:sz w:val="24"/>
          <w:szCs w:val="24"/>
        </w:rPr>
        <w:t>pozacenowe</w:t>
      </w:r>
      <w:proofErr w:type="spellEnd"/>
      <w:r w:rsidRPr="00607C90">
        <w:rPr>
          <w:b/>
          <w:bCs/>
          <w:sz w:val="24"/>
          <w:szCs w:val="24"/>
        </w:rPr>
        <w:t xml:space="preserve"> - Parametry techniczne:</w:t>
      </w:r>
    </w:p>
    <w:tbl>
      <w:tblPr>
        <w:tblW w:w="95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79"/>
        <w:gridCol w:w="4111"/>
        <w:gridCol w:w="2834"/>
        <w:gridCol w:w="1516"/>
      </w:tblGrid>
      <w:tr w:rsidR="00452C4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Ilość przyznawanych punktów za spełniony parametr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Parametry oferowane przez Wykonawcę </w:t>
            </w:r>
            <w:r w:rsidRPr="00661562">
              <w:rPr>
                <w:b/>
                <w:bCs/>
                <w:i/>
                <w:iCs/>
                <w:sz w:val="22"/>
                <w:szCs w:val="22"/>
              </w:rPr>
              <w:t>(należy uzupełnić</w:t>
            </w:r>
            <w:r w:rsidRPr="00661562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Precyzja przepływu fazy ruchomej</w:t>
            </w:r>
          </w:p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&gt; 0,07 %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≤ 0,07 % - </w:t>
            </w:r>
            <w:r w:rsidR="00F9303B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pkt.</w:t>
            </w: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</w:rPr>
              <w:t>Błąd przenoszenia (</w:t>
            </w:r>
            <w:proofErr w:type="spellStart"/>
            <w:r w:rsidRPr="001933D7">
              <w:rPr>
                <w:sz w:val="22"/>
                <w:szCs w:val="22"/>
              </w:rPr>
              <w:t>carry</w:t>
            </w:r>
            <w:proofErr w:type="spellEnd"/>
            <w:r w:rsidRPr="001933D7">
              <w:rPr>
                <w:sz w:val="22"/>
                <w:szCs w:val="22"/>
              </w:rPr>
              <w:t xml:space="preserve"> </w:t>
            </w:r>
            <w:proofErr w:type="spellStart"/>
            <w:r w:rsidRPr="001933D7">
              <w:rPr>
                <w:sz w:val="22"/>
                <w:szCs w:val="22"/>
              </w:rPr>
              <w:t>over</w:t>
            </w:r>
            <w:proofErr w:type="spellEnd"/>
            <w:r w:rsidRPr="001933D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≥ 0,004 %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&lt; 0,004 % - </w:t>
            </w:r>
            <w:r w:rsidR="00F9303B" w:rsidRPr="00F9303B">
              <w:rPr>
                <w:b/>
                <w:sz w:val="22"/>
                <w:szCs w:val="22"/>
                <w:lang w:eastAsia="en-US"/>
              </w:rPr>
              <w:t>10</w:t>
            </w:r>
            <w:r w:rsidRPr="00F9303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pkt.</w:t>
            </w:r>
          </w:p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  <w:lang w:val="pt-BR"/>
              </w:rPr>
            </w:pPr>
            <w:r w:rsidRPr="001933D7">
              <w:rPr>
                <w:sz w:val="22"/>
                <w:szCs w:val="22"/>
                <w:lang w:val="pt-BR"/>
              </w:rPr>
              <w:t>Detekor fluorescencyjny:</w:t>
            </w:r>
          </w:p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  <w:lang w:val="pt-BR"/>
              </w:rPr>
            </w:pPr>
            <w:r w:rsidRPr="001933D7">
              <w:rPr>
                <w:sz w:val="22"/>
                <w:szCs w:val="22"/>
                <w:lang w:val="pt-BR"/>
              </w:rPr>
              <w:t>Czułość: Raman (H</w:t>
            </w:r>
            <w:r w:rsidRPr="001933D7">
              <w:rPr>
                <w:sz w:val="22"/>
                <w:szCs w:val="22"/>
                <w:vertAlign w:val="subscript"/>
                <w:lang w:val="pt-BR"/>
              </w:rPr>
              <w:t>2</w:t>
            </w:r>
            <w:r w:rsidRPr="001933D7">
              <w:rPr>
                <w:sz w:val="22"/>
                <w:szCs w:val="22"/>
                <w:lang w:val="pt-BR"/>
              </w:rPr>
              <w:t xml:space="preserve">O) S/N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&lt; 3000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≥ 3000  - </w:t>
            </w:r>
            <w:r w:rsidR="00F9303B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pkt.</w:t>
            </w: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snapToGrid w:val="0"/>
                <w:sz w:val="22"/>
                <w:szCs w:val="22"/>
                <w:lang w:eastAsia="en-US"/>
              </w:rPr>
            </w:pPr>
            <w:r w:rsidRPr="001933D7">
              <w:rPr>
                <w:bCs/>
                <w:sz w:val="22"/>
                <w:szCs w:val="22"/>
              </w:rPr>
              <w:t>Detektor UV/VIS z matrycą diodową:</w:t>
            </w:r>
            <w:r w:rsidRPr="001933D7">
              <w:rPr>
                <w:b/>
                <w:bCs/>
                <w:sz w:val="22"/>
                <w:szCs w:val="22"/>
              </w:rPr>
              <w:br/>
            </w:r>
            <w:r w:rsidRPr="001933D7">
              <w:rPr>
                <w:snapToGrid w:val="0"/>
                <w:sz w:val="22"/>
                <w:szCs w:val="22"/>
                <w:lang w:eastAsia="en-US"/>
              </w:rPr>
              <w:t xml:space="preserve"> Liczba elementów światłoczułych (diod) </w:t>
            </w:r>
          </w:p>
          <w:p w:rsidR="002F2EEF" w:rsidRPr="001933D7" w:rsidRDefault="002F2EEF" w:rsidP="001E77DD">
            <w:pPr>
              <w:suppressAutoHyphens w:val="0"/>
              <w:rPr>
                <w:snapToGrid w:val="0"/>
                <w:sz w:val="22"/>
                <w:szCs w:val="22"/>
                <w:lang w:eastAsia="en-US"/>
              </w:rPr>
            </w:pP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>≤ 10</w:t>
            </w:r>
            <w:r w:rsidR="001B7351">
              <w:rPr>
                <w:sz w:val="22"/>
                <w:szCs w:val="22"/>
                <w:lang w:eastAsia="en-US"/>
              </w:rPr>
              <w:t>24</w:t>
            </w:r>
            <w:r w:rsidRPr="001933D7">
              <w:rPr>
                <w:sz w:val="22"/>
                <w:szCs w:val="22"/>
                <w:lang w:eastAsia="en-US"/>
              </w:rPr>
              <w:t xml:space="preserve">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  <w:lang w:eastAsia="en-US"/>
              </w:rPr>
              <w:t>&gt; 10</w:t>
            </w:r>
            <w:r w:rsidR="001B7351">
              <w:rPr>
                <w:sz w:val="22"/>
                <w:szCs w:val="22"/>
                <w:lang w:eastAsia="en-US"/>
              </w:rPr>
              <w:t>24</w:t>
            </w:r>
            <w:bookmarkStart w:id="0" w:name="_GoBack"/>
            <w:bookmarkEnd w:id="0"/>
            <w:r w:rsidRPr="001933D7">
              <w:rPr>
                <w:sz w:val="22"/>
                <w:szCs w:val="22"/>
                <w:lang w:eastAsia="en-US"/>
              </w:rPr>
              <w:t xml:space="preserve">  - </w:t>
            </w:r>
            <w:r w:rsidR="00F9303B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jc w:val="both"/>
              <w:rPr>
                <w:sz w:val="22"/>
                <w:szCs w:val="22"/>
              </w:rPr>
            </w:pPr>
            <w:r w:rsidRPr="001933D7">
              <w:rPr>
                <w:sz w:val="22"/>
                <w:szCs w:val="22"/>
              </w:rPr>
              <w:t xml:space="preserve">Nieodpłatny przegląd serwisowy w okresie trwania gwarancji w terminie ustalonym z użytkownikiem </w:t>
            </w:r>
          </w:p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1 przeglądy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2F2EEF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2 przeglądy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5 pkt.</w:t>
            </w: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661562" w:rsidRDefault="002F2EEF">
            <w:pPr>
              <w:numPr>
                <w:ilvl w:val="0"/>
                <w:numId w:val="19"/>
              </w:num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Gwarancja </w:t>
            </w:r>
            <w:r w:rsidR="00CC3240">
              <w:rPr>
                <w:sz w:val="22"/>
                <w:szCs w:val="22"/>
                <w:lang w:eastAsia="en-US"/>
              </w:rPr>
              <w:t>(minimalna wymagana 24 miesiące)</w:t>
            </w:r>
          </w:p>
          <w:p w:rsidR="002F2EEF" w:rsidRPr="001933D7" w:rsidRDefault="002F2EEF" w:rsidP="001E77DD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2EEF" w:rsidRPr="001933D7" w:rsidRDefault="00CC3240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 do 35</w:t>
            </w:r>
            <w:r w:rsidR="002F2EEF" w:rsidRPr="001933D7">
              <w:rPr>
                <w:sz w:val="22"/>
                <w:szCs w:val="22"/>
                <w:lang w:eastAsia="en-US"/>
              </w:rPr>
              <w:t xml:space="preserve"> miesięcy  - </w:t>
            </w:r>
            <w:r w:rsidR="002F2EEF"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:rsidR="002F2EEF" w:rsidRPr="001933D7" w:rsidRDefault="00CC3240" w:rsidP="001E77DD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 i więcej</w:t>
            </w:r>
            <w:r w:rsidR="002F2EEF" w:rsidRPr="001933D7">
              <w:rPr>
                <w:sz w:val="22"/>
                <w:szCs w:val="22"/>
                <w:lang w:eastAsia="en-US"/>
              </w:rPr>
              <w:t xml:space="preserve"> miesięcy - </w:t>
            </w:r>
            <w:r w:rsidR="002F2EEF" w:rsidRPr="001933D7">
              <w:rPr>
                <w:b/>
                <w:bCs/>
                <w:sz w:val="22"/>
                <w:szCs w:val="22"/>
                <w:lang w:eastAsia="en-US"/>
              </w:rPr>
              <w:t>5 pkt.</w:t>
            </w:r>
          </w:p>
          <w:p w:rsidR="002F2EEF" w:rsidRPr="001933D7" w:rsidRDefault="002F2EEF" w:rsidP="001E77DD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661562" w:rsidRDefault="002F2EEF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F2EEF" w:rsidRPr="00661562"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EEF" w:rsidRPr="001933D7" w:rsidRDefault="002F2EEF" w:rsidP="0071615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 xml:space="preserve">Uwaga! Wykonawca załączy do każdego parametru z pkt. 1 - 6 dokumenty potwierdzające oferowaną wartość. Takim dokumentem może być specyfikacja techniczna (fabryczna). </w:t>
            </w:r>
          </w:p>
          <w:p w:rsidR="002F2EEF" w:rsidRPr="001933D7" w:rsidRDefault="002F2EEF" w:rsidP="0071615C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452C4F" w:rsidRDefault="00452C4F">
      <w:pPr>
        <w:rPr>
          <w:i/>
          <w:iCs/>
          <w:color w:val="800000"/>
          <w:sz w:val="22"/>
          <w:szCs w:val="22"/>
        </w:rPr>
      </w:pPr>
      <w:r>
        <w:rPr>
          <w:i/>
          <w:iCs/>
          <w:sz w:val="22"/>
          <w:szCs w:val="22"/>
        </w:rPr>
        <w:t>Cena- 50%</w:t>
      </w:r>
    </w:p>
    <w:p w:rsidR="00452C4F" w:rsidRDefault="00067922">
      <w:pPr>
        <w:spacing w:line="100" w:lineRule="atLeas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Parametry techniczne 4</w:t>
      </w:r>
      <w:r w:rsidR="00452C4F" w:rsidRPr="00634F5B">
        <w:rPr>
          <w:i/>
          <w:iCs/>
          <w:sz w:val="22"/>
          <w:szCs w:val="22"/>
        </w:rPr>
        <w:t>0%</w:t>
      </w:r>
    </w:p>
    <w:p w:rsidR="00452C4F" w:rsidRDefault="00067922" w:rsidP="002F2EEF">
      <w:pPr>
        <w:spacing w:line="100" w:lineRule="atLeas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Gwarancja i przegląd serwisowy 10 </w:t>
      </w:r>
      <w:r w:rsidR="002F2EEF">
        <w:rPr>
          <w:i/>
          <w:iCs/>
          <w:sz w:val="22"/>
          <w:szCs w:val="22"/>
        </w:rPr>
        <w:t>%</w:t>
      </w:r>
    </w:p>
    <w:p w:rsidR="00607C90" w:rsidRDefault="00607C90" w:rsidP="002F2EEF">
      <w:pPr>
        <w:spacing w:line="100" w:lineRule="atLeast"/>
        <w:jc w:val="both"/>
      </w:pPr>
    </w:p>
    <w:p w:rsidR="00607C90" w:rsidRDefault="00607C90" w:rsidP="002F2EEF">
      <w:pPr>
        <w:spacing w:line="100" w:lineRule="atLeast"/>
        <w:jc w:val="both"/>
      </w:pPr>
    </w:p>
    <w:p w:rsidR="00607C90" w:rsidRDefault="00607C90" w:rsidP="002F2EEF">
      <w:pPr>
        <w:spacing w:line="100" w:lineRule="atLeast"/>
        <w:jc w:val="both"/>
      </w:pPr>
    </w:p>
    <w:p w:rsidR="00607C90" w:rsidRDefault="00607C90" w:rsidP="002F2EEF">
      <w:pPr>
        <w:spacing w:line="100" w:lineRule="atLeast"/>
        <w:jc w:val="both"/>
      </w:pPr>
    </w:p>
    <w:p w:rsidR="00607C90" w:rsidRDefault="00607C90" w:rsidP="00607C90">
      <w:pPr>
        <w:ind w:left="5548"/>
        <w:jc w:val="right"/>
        <w:rPr>
          <w:sz w:val="24"/>
          <w:szCs w:val="24"/>
        </w:rPr>
      </w:pPr>
    </w:p>
    <w:p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:rsidR="00607C90" w:rsidRDefault="00607C90" w:rsidP="00607C90">
      <w:pPr>
        <w:ind w:left="5529"/>
        <w:jc w:val="center"/>
      </w:pPr>
      <w:r>
        <w:t>(podpis i pieczątka upełnomocnionego</w:t>
      </w:r>
    </w:p>
    <w:p w:rsidR="00607C90" w:rsidRDefault="00607C90" w:rsidP="00607C90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p w:rsidR="00607C90" w:rsidRDefault="00607C90" w:rsidP="002F2EEF">
      <w:pPr>
        <w:spacing w:line="100" w:lineRule="atLeast"/>
        <w:jc w:val="both"/>
      </w:pPr>
    </w:p>
    <w:sectPr w:rsidR="00607C90" w:rsidSect="00293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C4F" w:rsidRDefault="00452C4F">
      <w:r>
        <w:separator/>
      </w:r>
    </w:p>
  </w:endnote>
  <w:endnote w:type="continuationSeparator" w:id="0">
    <w:p w:rsidR="00452C4F" w:rsidRDefault="0045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C4F" w:rsidRDefault="00452C4F">
    <w:pPr>
      <w:pStyle w:val="Stopka"/>
      <w:jc w:val="right"/>
    </w:pPr>
    <w:r>
      <w:t xml:space="preserve">Strona </w:t>
    </w:r>
    <w:r w:rsidR="00607C90">
      <w:fldChar w:fldCharType="begin"/>
    </w:r>
    <w:r w:rsidR="00607C90">
      <w:instrText xml:space="preserve"> PAGE </w:instrText>
    </w:r>
    <w:r w:rsidR="00607C90">
      <w:fldChar w:fldCharType="separate"/>
    </w:r>
    <w:r w:rsidR="001406F4">
      <w:rPr>
        <w:noProof/>
      </w:rPr>
      <w:t>3</w:t>
    </w:r>
    <w:r w:rsidR="00607C90">
      <w:rPr>
        <w:noProof/>
      </w:rPr>
      <w:fldChar w:fldCharType="end"/>
    </w:r>
    <w:r>
      <w:t xml:space="preserve"> z </w:t>
    </w:r>
    <w:r w:rsidR="002F2EEF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C4F" w:rsidRDefault="00452C4F">
      <w:r>
        <w:separator/>
      </w:r>
    </w:p>
  </w:footnote>
  <w:footnote w:type="continuationSeparator" w:id="0">
    <w:p w:rsidR="00452C4F" w:rsidRDefault="00452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C90" w:rsidRDefault="00607C90" w:rsidP="00607C90">
    <w:pPr>
      <w:pStyle w:val="Nagwek"/>
    </w:pPr>
    <w:r>
      <w:rPr>
        <w:i/>
        <w:color w:val="ACB9CA"/>
      </w:rPr>
      <w:t>EA-ZP.272.7.2018</w:t>
    </w:r>
    <w:r>
      <w:rPr>
        <w:i/>
        <w:color w:val="ACB9CA"/>
      </w:rPr>
      <w:tab/>
    </w:r>
    <w:r>
      <w:rPr>
        <w:i/>
        <w:color w:val="ACB9CA"/>
      </w:rPr>
      <w:tab/>
      <w:t>Zał. 2</w:t>
    </w:r>
  </w:p>
  <w:p w:rsidR="00452C4F" w:rsidRDefault="00452C4F">
    <w:pPr>
      <w:pStyle w:val="Nagwek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7040D47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270"/>
    <w:rsid w:val="00053C07"/>
    <w:rsid w:val="00067922"/>
    <w:rsid w:val="000C552F"/>
    <w:rsid w:val="001406F4"/>
    <w:rsid w:val="0015651A"/>
    <w:rsid w:val="00172A86"/>
    <w:rsid w:val="001933D7"/>
    <w:rsid w:val="00193413"/>
    <w:rsid w:val="001B7351"/>
    <w:rsid w:val="00211C67"/>
    <w:rsid w:val="002220EF"/>
    <w:rsid w:val="00245898"/>
    <w:rsid w:val="00293969"/>
    <w:rsid w:val="002948C4"/>
    <w:rsid w:val="002A058B"/>
    <w:rsid w:val="002A0640"/>
    <w:rsid w:val="002E0272"/>
    <w:rsid w:val="002E24B1"/>
    <w:rsid w:val="002E61B4"/>
    <w:rsid w:val="002F2EEF"/>
    <w:rsid w:val="00300EFC"/>
    <w:rsid w:val="003021E5"/>
    <w:rsid w:val="003654CF"/>
    <w:rsid w:val="00367900"/>
    <w:rsid w:val="00373F87"/>
    <w:rsid w:val="003D5587"/>
    <w:rsid w:val="003E3DAD"/>
    <w:rsid w:val="003F2730"/>
    <w:rsid w:val="00451F24"/>
    <w:rsid w:val="00452C4F"/>
    <w:rsid w:val="0045693D"/>
    <w:rsid w:val="0048121F"/>
    <w:rsid w:val="004817B1"/>
    <w:rsid w:val="004843FB"/>
    <w:rsid w:val="00485577"/>
    <w:rsid w:val="00486DA9"/>
    <w:rsid w:val="00492036"/>
    <w:rsid w:val="00494CA3"/>
    <w:rsid w:val="004A6F27"/>
    <w:rsid w:val="004B0150"/>
    <w:rsid w:val="004C1BCA"/>
    <w:rsid w:val="005027D8"/>
    <w:rsid w:val="00504F14"/>
    <w:rsid w:val="00507616"/>
    <w:rsid w:val="005609F1"/>
    <w:rsid w:val="00575732"/>
    <w:rsid w:val="00594A12"/>
    <w:rsid w:val="005A2F97"/>
    <w:rsid w:val="005D341D"/>
    <w:rsid w:val="005D5EAC"/>
    <w:rsid w:val="005E00E0"/>
    <w:rsid w:val="005E2606"/>
    <w:rsid w:val="005F34A3"/>
    <w:rsid w:val="005F395E"/>
    <w:rsid w:val="00607C90"/>
    <w:rsid w:val="006142CD"/>
    <w:rsid w:val="006209A7"/>
    <w:rsid w:val="0062174D"/>
    <w:rsid w:val="0063189F"/>
    <w:rsid w:val="00634F5B"/>
    <w:rsid w:val="00661562"/>
    <w:rsid w:val="00665718"/>
    <w:rsid w:val="006717E3"/>
    <w:rsid w:val="00677FA5"/>
    <w:rsid w:val="00685B29"/>
    <w:rsid w:val="006914B3"/>
    <w:rsid w:val="00697002"/>
    <w:rsid w:val="006B43E5"/>
    <w:rsid w:val="006E5E3C"/>
    <w:rsid w:val="006F2073"/>
    <w:rsid w:val="006F41BC"/>
    <w:rsid w:val="0070561E"/>
    <w:rsid w:val="0071615C"/>
    <w:rsid w:val="00733815"/>
    <w:rsid w:val="007469AE"/>
    <w:rsid w:val="007A3BD8"/>
    <w:rsid w:val="008160FC"/>
    <w:rsid w:val="00826C49"/>
    <w:rsid w:val="0084785B"/>
    <w:rsid w:val="00852574"/>
    <w:rsid w:val="00863A9D"/>
    <w:rsid w:val="00893377"/>
    <w:rsid w:val="00896469"/>
    <w:rsid w:val="009242D1"/>
    <w:rsid w:val="00924BC0"/>
    <w:rsid w:val="0093682C"/>
    <w:rsid w:val="00945E33"/>
    <w:rsid w:val="00960DE3"/>
    <w:rsid w:val="009633F3"/>
    <w:rsid w:val="00971634"/>
    <w:rsid w:val="009B060A"/>
    <w:rsid w:val="00A11E07"/>
    <w:rsid w:val="00A17A87"/>
    <w:rsid w:val="00A26DA4"/>
    <w:rsid w:val="00A56249"/>
    <w:rsid w:val="00A84952"/>
    <w:rsid w:val="00AA578A"/>
    <w:rsid w:val="00AC4921"/>
    <w:rsid w:val="00AD4A72"/>
    <w:rsid w:val="00AD4F99"/>
    <w:rsid w:val="00AE513D"/>
    <w:rsid w:val="00B07AE1"/>
    <w:rsid w:val="00B1496E"/>
    <w:rsid w:val="00B42417"/>
    <w:rsid w:val="00B675AF"/>
    <w:rsid w:val="00B74270"/>
    <w:rsid w:val="00B858D0"/>
    <w:rsid w:val="00B90EF9"/>
    <w:rsid w:val="00BB69A1"/>
    <w:rsid w:val="00BD778E"/>
    <w:rsid w:val="00C507C9"/>
    <w:rsid w:val="00C5219E"/>
    <w:rsid w:val="00CC3240"/>
    <w:rsid w:val="00CC6502"/>
    <w:rsid w:val="00CD647A"/>
    <w:rsid w:val="00CD778F"/>
    <w:rsid w:val="00D348B4"/>
    <w:rsid w:val="00D57763"/>
    <w:rsid w:val="00D606B6"/>
    <w:rsid w:val="00D7442E"/>
    <w:rsid w:val="00DB72BF"/>
    <w:rsid w:val="00DF3DE7"/>
    <w:rsid w:val="00E03B99"/>
    <w:rsid w:val="00E31F92"/>
    <w:rsid w:val="00E33AFD"/>
    <w:rsid w:val="00EB7F41"/>
    <w:rsid w:val="00F30CBD"/>
    <w:rsid w:val="00F805DF"/>
    <w:rsid w:val="00F9031F"/>
    <w:rsid w:val="00F9303B"/>
    <w:rsid w:val="00FA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ADFCD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3969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1662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MPiana</cp:lastModifiedBy>
  <cp:revision>5</cp:revision>
  <cp:lastPrinted>2018-05-15T11:10:00Z</cp:lastPrinted>
  <dcterms:created xsi:type="dcterms:W3CDTF">2018-05-17T05:23:00Z</dcterms:created>
  <dcterms:modified xsi:type="dcterms:W3CDTF">2018-05-21T06:08:00Z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